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"/>
        <w:gridCol w:w="5191"/>
        <w:gridCol w:w="3125"/>
      </w:tblGrid>
      <w:tr w:rsidR="00B63E54" w:rsidRPr="00B63E54" w:rsidTr="00B63E54">
        <w:trPr>
          <w:tblCellSpacing w:w="15" w:type="dxa"/>
        </w:trPr>
        <w:tc>
          <w:tcPr>
            <w:tcW w:w="1650" w:type="pct"/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0" w:type="pct"/>
            <w:vAlign w:val="center"/>
            <w:hideMark/>
          </w:tcPr>
          <w:tbl>
            <w:tblPr>
              <w:tblW w:w="535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131"/>
            </w:tblGrid>
            <w:tr w:rsidR="00B63E54" w:rsidRPr="00B63E54">
              <w:trPr>
                <w:tblCellSpacing w:w="0" w:type="dxa"/>
              </w:trPr>
              <w:tc>
                <w:tcPr>
                  <w:tcW w:w="5355" w:type="dxa"/>
                  <w:vAlign w:val="center"/>
                  <w:hideMark/>
                </w:tcPr>
                <w:p w:rsidR="00B63E54" w:rsidRPr="00B63E54" w:rsidRDefault="00B63E54" w:rsidP="00B63E5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Verdana" w:eastAsia="宋体" w:hAnsi="Verdana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Verdana" w:eastAsia="宋体" w:hAnsi="Verdana" w:cs="宋体"/>
                      <w:noProof/>
                      <w:color w:val="000000"/>
                      <w:kern w:val="0"/>
                      <w:sz w:val="20"/>
                      <w:szCs w:val="20"/>
                    </w:rPr>
                    <w:drawing>
                      <wp:inline distT="0" distB="0" distL="0" distR="0">
                        <wp:extent cx="3400425" cy="104775"/>
                        <wp:effectExtent l="19050" t="0" r="9525" b="0"/>
                        <wp:docPr id="3" name="图片 3" descr="http://www.lenntech.com/images/yla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lenntech.com/images/yla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042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3E54" w:rsidRPr="00B63E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63E54" w:rsidRPr="00B63E54" w:rsidRDefault="00B63E54" w:rsidP="00B63E54">
                  <w:pPr>
                    <w:widowControl/>
                    <w:spacing w:before="100" w:beforeAutospacing="1" w:after="100" w:afterAutospacing="1"/>
                    <w:jc w:val="center"/>
                    <w:outlineLvl w:val="0"/>
                    <w:rPr>
                      <w:rFonts w:ascii="Verdana" w:eastAsia="宋体" w:hAnsi="Verdana" w:cs="宋体"/>
                      <w:b/>
                      <w:bCs/>
                      <w:i/>
                      <w:iCs/>
                      <w:color w:val="000000"/>
                      <w:kern w:val="36"/>
                      <w:sz w:val="24"/>
                      <w:szCs w:val="24"/>
                    </w:rPr>
                  </w:pPr>
                  <w:r w:rsidRPr="00B63E54">
                    <w:rPr>
                      <w:rFonts w:ascii="Verdana" w:eastAsia="宋体" w:hAnsi="Verdana" w:cs="宋体"/>
                      <w:b/>
                      <w:bCs/>
                      <w:i/>
                      <w:iCs/>
                      <w:color w:val="000000"/>
                      <w:kern w:val="36"/>
                      <w:sz w:val="15"/>
                      <w:szCs w:val="15"/>
                    </w:rPr>
                    <w:t> </w:t>
                  </w:r>
                  <w:r>
                    <w:rPr>
                      <w:rFonts w:ascii="Verdana" w:eastAsia="宋体" w:hAnsi="Verdana" w:cs="宋体"/>
                      <w:b/>
                      <w:bCs/>
                      <w:i/>
                      <w:iCs/>
                      <w:noProof/>
                      <w:color w:val="000000"/>
                      <w:kern w:val="36"/>
                      <w:sz w:val="15"/>
                      <w:szCs w:val="15"/>
                    </w:rPr>
                    <w:drawing>
                      <wp:inline distT="0" distB="0" distL="0" distR="0">
                        <wp:extent cx="1428750" cy="381000"/>
                        <wp:effectExtent l="19050" t="0" r="0" b="0"/>
                        <wp:docPr id="4" name="图片 4" descr="http://www.lenntech.com/images/lenntdoorz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lenntech.com/images/lenntdoorz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63E54">
                    <w:rPr>
                      <w:rFonts w:ascii="Verdana" w:eastAsia="宋体" w:hAnsi="Verdana" w:cs="宋体"/>
                      <w:b/>
                      <w:bCs/>
                      <w:i/>
                      <w:iCs/>
                      <w:color w:val="000000"/>
                      <w:kern w:val="36"/>
                      <w:sz w:val="24"/>
                      <w:szCs w:val="24"/>
                    </w:rPr>
                    <w:br/>
                    <w:t>WHO's drinking water standards 1993</w:t>
                  </w:r>
                </w:p>
              </w:tc>
            </w:tr>
            <w:tr w:rsidR="00B63E54" w:rsidRPr="00B63E54">
              <w:trPr>
                <w:tblCellSpacing w:w="0" w:type="dxa"/>
              </w:trPr>
              <w:tc>
                <w:tcPr>
                  <w:tcW w:w="5355" w:type="dxa"/>
                  <w:vAlign w:val="center"/>
                  <w:hideMark/>
                </w:tcPr>
                <w:p w:rsidR="00B63E54" w:rsidRPr="00B63E54" w:rsidRDefault="00B63E54" w:rsidP="00B63E54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Verdana" w:eastAsia="宋体" w:hAnsi="Verdana" w:cs="宋体"/>
                      <w:noProof/>
                      <w:color w:val="000000"/>
                      <w:kern w:val="0"/>
                      <w:sz w:val="20"/>
                      <w:szCs w:val="20"/>
                    </w:rPr>
                    <w:drawing>
                      <wp:inline distT="0" distB="0" distL="0" distR="0">
                        <wp:extent cx="3400425" cy="104775"/>
                        <wp:effectExtent l="19050" t="0" r="9525" b="0"/>
                        <wp:docPr id="5" name="图片 5" descr="http://www.lenntech.com/images/ala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lenntech.com/images/ala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042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pct"/>
            <w:vAlign w:val="center"/>
            <w:hideMark/>
          </w:tcPr>
          <w:p w:rsidR="00B63E54" w:rsidRPr="00B63E54" w:rsidRDefault="00B63E54" w:rsidP="00B63E54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宋体" w:hAnsi="Arial" w:cs="Arial"/>
                <w:vanish/>
                <w:kern w:val="0"/>
                <w:sz w:val="16"/>
                <w:szCs w:val="16"/>
              </w:rPr>
            </w:pPr>
            <w:r w:rsidRPr="00B63E54">
              <w:rPr>
                <w:rFonts w:ascii="Arial" w:eastAsia="宋体" w:hAnsi="Arial" w:cs="Arial" w:hint="eastAsia"/>
                <w:vanish/>
                <w:kern w:val="0"/>
                <w:sz w:val="16"/>
                <w:szCs w:val="16"/>
              </w:rPr>
              <w:t>窗体顶端</w:t>
            </w:r>
          </w:p>
          <w:p w:rsidR="00B63E54" w:rsidRPr="00B63E54" w:rsidRDefault="00D82838" w:rsidP="00B63E54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object w:dxaOrig="300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in;height:18pt" o:ole="">
                  <v:imagedata r:id="rId9" o:title=""/>
                </v:shape>
                <w:control r:id="rId10" w:name="DefaultOcxName" w:shapeid="_x0000_i1033"/>
              </w:object>
            </w:r>
          </w:p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center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b/>
                <w:bCs/>
                <w:color w:val="000000"/>
                <w:kern w:val="0"/>
                <w:sz w:val="20"/>
                <w:szCs w:val="20"/>
              </w:rPr>
              <w:t>Search :</w:t>
            </w: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br/>
            </w:r>
            <w:r w:rsidR="00D82838"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object w:dxaOrig="300" w:dyaOrig="225">
                <v:shape id="_x0000_i1037" type="#_x0000_t75" style="width:160.5pt;height:18pt" o:ole="">
                  <v:imagedata r:id="rId11" o:title=""/>
                </v:shape>
                <w:control r:id="rId12" w:name="DefaultOcxName1" w:shapeid="_x0000_i1037"/>
              </w:object>
            </w:r>
            <w:r w:rsidR="00D82838"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object w:dxaOrig="300" w:dyaOrig="225">
                <v:shape id="_x0000_i1039" type="#_x0000_t75" style="width:26.25pt;height:20.25pt" o:ole="">
                  <v:imagedata r:id="rId13" o:title=""/>
                </v:shape>
                <w:control r:id="rId14" w:name="DefaultOcxName2" w:shapeid="_x0000_i1039"/>
              </w:object>
            </w:r>
          </w:p>
          <w:p w:rsidR="00B63E54" w:rsidRPr="00B63E54" w:rsidRDefault="00B63E54" w:rsidP="00B63E54">
            <w:pPr>
              <w:widowControl/>
              <w:pBdr>
                <w:top w:val="single" w:sz="6" w:space="1" w:color="auto"/>
              </w:pBdr>
              <w:jc w:val="center"/>
              <w:rPr>
                <w:rFonts w:ascii="Arial" w:eastAsia="宋体" w:hAnsi="Arial" w:cs="Arial"/>
                <w:vanish/>
                <w:kern w:val="0"/>
                <w:sz w:val="16"/>
                <w:szCs w:val="16"/>
              </w:rPr>
            </w:pPr>
            <w:r w:rsidRPr="00B63E54">
              <w:rPr>
                <w:rFonts w:ascii="Arial" w:eastAsia="宋体" w:hAnsi="Arial" w:cs="Arial" w:hint="eastAsia"/>
                <w:vanish/>
                <w:kern w:val="0"/>
                <w:sz w:val="16"/>
                <w:szCs w:val="16"/>
              </w:rPr>
              <w:t>窗体底端</w:t>
            </w:r>
          </w:p>
        </w:tc>
      </w:tr>
    </w:tbl>
    <w:p w:rsidR="00B63E54" w:rsidRPr="00B63E54" w:rsidRDefault="00B63E54" w:rsidP="00B63E54">
      <w:pPr>
        <w:widowControl/>
        <w:spacing w:before="100" w:beforeAutospacing="1" w:after="100" w:afterAutospacing="1"/>
        <w:jc w:val="center"/>
        <w:outlineLvl w:val="1"/>
        <w:rPr>
          <w:rFonts w:ascii="Verdana" w:eastAsia="宋体" w:hAnsi="Verdana" w:cs="宋体"/>
          <w:b/>
          <w:bCs/>
          <w:color w:val="000000"/>
          <w:kern w:val="0"/>
          <w:sz w:val="20"/>
          <w:szCs w:val="20"/>
        </w:rPr>
      </w:pPr>
      <w:r w:rsidRPr="00B63E54">
        <w:rPr>
          <w:rFonts w:ascii="Verdana" w:eastAsia="宋体" w:hAnsi="Verdana" w:cs="宋体"/>
          <w:b/>
          <w:bCs/>
          <w:color w:val="000000"/>
          <w:kern w:val="0"/>
          <w:sz w:val="20"/>
          <w:szCs w:val="20"/>
        </w:rPr>
        <w:t xml:space="preserve">WHO's Guidelines for Drinking-water Quality, set up in Geneva, 1993, </w:t>
      </w:r>
      <w:proofErr w:type="gramStart"/>
      <w:r w:rsidRPr="00B63E54">
        <w:rPr>
          <w:rFonts w:ascii="Verdana" w:eastAsia="宋体" w:hAnsi="Verdana" w:cs="宋体"/>
          <w:b/>
          <w:bCs/>
          <w:color w:val="000000"/>
          <w:kern w:val="0"/>
          <w:sz w:val="20"/>
          <w:szCs w:val="20"/>
        </w:rPr>
        <w:t>are</w:t>
      </w:r>
      <w:proofErr w:type="gramEnd"/>
      <w:r w:rsidRPr="00B63E54">
        <w:rPr>
          <w:rFonts w:ascii="Verdana" w:eastAsia="宋体" w:hAnsi="Verdana" w:cs="宋体"/>
          <w:b/>
          <w:bCs/>
          <w:color w:val="000000"/>
          <w:kern w:val="0"/>
          <w:sz w:val="20"/>
          <w:szCs w:val="20"/>
        </w:rPr>
        <w:t xml:space="preserve"> the international reference point for standard setting and drinking-water safety.  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00"/>
        <w:gridCol w:w="1125"/>
        <w:gridCol w:w="1620"/>
        <w:gridCol w:w="1620"/>
      </w:tblGrid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Element/</w:t>
            </w: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br/>
              <w:t>substance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Symbol/</w:t>
            </w: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br/>
              <w:t>formula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Normally found in fresh water/surface water/ground water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Health based guideline by the WHO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5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  <w:lang w:val="es-ES"/>
                </w:rPr>
                <w:t>Aluminium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Al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0,2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Ammonia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0,2 mg/l (up to 0,3 mg/l in anaerobic waters)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6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Antimony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Sb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&lt; 4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0.005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7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Arsenic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As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0,01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Asbestos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8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Barium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0,3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19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Berillium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Be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&lt; 1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0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Boron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1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0,3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1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Cadmium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&lt; 1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0,003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2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Chloride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250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3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Chromium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</w:rPr>
              <w:t>+3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, Cr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</w:rPr>
              <w:t>+6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&lt; 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0,05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Colour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Not mentioned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4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Copper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Cu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Cyanide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  <w:lang w:val="es-ES"/>
              </w:rPr>
              <w:t>-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0,07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Dissolved </w:t>
            </w:r>
            <w:hyperlink r:id="rId25" w:history="1">
              <w:r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oxygen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6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Fluoride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1,5 mg/l (up to 10)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1,5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7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Hardness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mg/l </w:t>
            </w:r>
            <w:r w:rsidR="00D82838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fldChar w:fldCharType="begin"/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instrText xml:space="preserve"> HYPERLINK "http://www.lenntech.com/Periodic-chart-elements/Ca-en.htm" </w:instrText>
            </w:r>
            <w:r w:rsidR="00D82838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fldChar w:fldCharType="separate"/>
            </w:r>
            <w:r w:rsidRPr="00B63E54">
              <w:rPr>
                <w:rFonts w:ascii="宋体" w:eastAsia="宋体" w:hAnsi="宋体" w:cs="宋体"/>
                <w:b/>
                <w:bCs/>
                <w:color w:val="0F6B94"/>
                <w:kern w:val="0"/>
                <w:sz w:val="24"/>
                <w:szCs w:val="24"/>
                <w:lang w:val="es-ES"/>
              </w:rPr>
              <w:t>Ca</w:t>
            </w:r>
            <w:r w:rsidR="00D82838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fldChar w:fldCharType="end"/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Hydrogen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sulfide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8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Iron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Fe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0,5 - 50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29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Lead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0,01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0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  <w:lang w:val="es-ES"/>
                </w:rPr>
                <w:t>Manganese</w:t>
              </w:r>
            </w:hyperlink>
            <w:r w:rsidR="00B63E54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 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Mn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0,5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1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Mercury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Hg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&lt; 0,5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0,001 mg/l  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2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  <w:lang w:val="es-ES"/>
                </w:rPr>
                <w:t>Molybdenum</w:t>
              </w:r>
            </w:hyperlink>
            <w:r w:rsidR="00B63E54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 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Mb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0,01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0,07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3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  <w:lang w:val="es-ES"/>
                </w:rPr>
                <w:t>Nickel</w:t>
              </w:r>
            </w:hyperlink>
            <w:r w:rsidR="00B63E54"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 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Ni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&lt; 0,02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0,02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4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Nitrate and nitrite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, NO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50 mg/l total nitrogen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Turbidity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Not mentioned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5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pH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6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Selenium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Se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&lt; 0,01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0,01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7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Silver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Ag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5 – 50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8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Sodium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&lt; 20 mg/l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39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Sulfate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0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Inorganic tin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TDS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1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Uranium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U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1,4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2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Zinc</w:t>
              </w:r>
            </w:hyperlink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Zn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 mg/l</w:t>
            </w:r>
          </w:p>
        </w:tc>
      </w:tr>
    </w:tbl>
    <w:p w:rsidR="00B63E54" w:rsidRPr="00B63E54" w:rsidRDefault="00B63E54" w:rsidP="00B63E5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  <w:r w:rsidRPr="00B63E5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Organic compounds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13"/>
        <w:gridCol w:w="1869"/>
        <w:gridCol w:w="101"/>
        <w:gridCol w:w="2310"/>
        <w:gridCol w:w="1277"/>
        <w:gridCol w:w="1166"/>
      </w:tblGrid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Group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Substance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Formula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Health based guideline by the WHO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Chlorinated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alkanes</w:t>
            </w:r>
            <w:proofErr w:type="spellEnd"/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Carbon tetrachloride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Dichloromethane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1,1-Dichloroethane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1,2-Dichloroethane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1,1,1-Trichloroethane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Chlorinated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ethenes</w:t>
            </w:r>
            <w:proofErr w:type="spellEnd"/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1,1-Dichloroethene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1,2-Dichloroethene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50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Trichloroethene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70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Tetrachloroethene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40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Aromatic hydrocarbons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Benzene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Toluene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7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700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Xylenes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500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Ethylbenzene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Styrene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Polynuclear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Aromatic Hydrocarbons (PAHs)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P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0.7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Chlorinated benzenes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Monochlorobenzene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(MCB)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5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Dichlorobenzenes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(DCBs)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1,2-Dichlorobenzene (1,2-DCB)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1,3-Dichlorobenzene (1,3-DCB)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1,4-Dichlorobenzene (1,4-DCB)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Trichlorobenzenes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(TCBs)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Miscellaneous organic constituents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Di(2-ethylhexyl)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adipate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(DEHA)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42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80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Di(2-ethylhexyl)phthalate (DEHP)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38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8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Acrylamide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5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 O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0.5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Epichlorohydrin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(ECH)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5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O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0.4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Hexachlorobutadiene (HCBD)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0.6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Ethylenediaminetetraacetic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acid (EDTA)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8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 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Nitrilotriacetic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acid (NTA)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N(CH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COOH)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Organotins</w:t>
            </w:r>
            <w:proofErr w:type="spellEnd"/>
          </w:p>
        </w:tc>
        <w:tc>
          <w:tcPr>
            <w:tcW w:w="1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Dialkyltins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Sn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X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Tributil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oxide (TBTO)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54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 Sn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spacing w:line="0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</w:pPr>
            <w:r w:rsidRPr="00B63E54">
              <w:rPr>
                <w:rFonts w:ascii="Verdana" w:eastAsia="宋体" w:hAnsi="Verdan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B63E54" w:rsidRPr="00B63E54" w:rsidRDefault="00B63E54" w:rsidP="00B63E5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63E5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Pesticides</w:t>
      </w:r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5"/>
        <w:gridCol w:w="1440"/>
        <w:gridCol w:w="2340"/>
        <w:gridCol w:w="2145"/>
      </w:tblGrid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Substance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Formula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Health based guideline by the WHO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Alachlor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N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Aldicarb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7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Aldrin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and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dieldrin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</w:t>
            </w:r>
          </w:p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0.03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3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  <w:lang w:val="es-ES"/>
                </w:rPr>
                <w:t>Atrazine</w:t>
              </w:r>
            </w:hyperlink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14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Bentazone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S 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30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Carbofuran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15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5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Chlordane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6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0.2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Chlorotoluron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DDT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9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1,2-Dibromo-3-chloropropane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5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2,4-Dichlorophenoxyacetic acid (2,4-D)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8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30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1,2-Dichloropropane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1,3-Dichloropropane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1,3-Dichloropropene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CHClCH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Ethylene dibromide (EDB)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Br 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Br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Heptachlor and heptachlor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epoxide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5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0.03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Hexachlorobenzene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(HCB)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7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1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Isoproturon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18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Lindane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MCPA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9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9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Methoxychlor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(C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OCH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)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CHCCl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20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Metolachlor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 N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Molinate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9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17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 O S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6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Pendimethalin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4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Pentachlorophenol (PCP)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Permethrin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21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20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Propanil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N O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Pyridate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Simazine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7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33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Trifluralin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F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4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Chlorophenoxy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herbicides (excluding 2,4-D and MCPA)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2,4-DB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10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Dichlorprop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8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0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Fenoprop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9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7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9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MCPB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11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13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Mecoprop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10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11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2,4,5-T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8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</w:tbl>
    <w:p w:rsidR="00B63E54" w:rsidRPr="00B63E54" w:rsidRDefault="00B63E54" w:rsidP="00B63E5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63E5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Disinfectants and disinfectant by-products</w:t>
      </w:r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29"/>
        <w:gridCol w:w="1825"/>
        <w:gridCol w:w="135"/>
        <w:gridCol w:w="127"/>
        <w:gridCol w:w="3154"/>
        <w:gridCol w:w="829"/>
        <w:gridCol w:w="937"/>
      </w:tblGrid>
      <w:tr w:rsidR="00B63E54" w:rsidRPr="00B63E54" w:rsidTr="00B63E54">
        <w:trPr>
          <w:tblCellSpacing w:w="0" w:type="dxa"/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Group</w:t>
            </w: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Substance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Formula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Health based guideline by the WHO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Disinfectants</w:t>
            </w: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Chloramines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n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</w:rPr>
              <w:t>(3-n)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,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</w:rPr>
              <w:br/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where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n = 0,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 or 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3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Chlorine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 mg/l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D82838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hyperlink r:id="rId44" w:history="1">
              <w:r w:rsidR="00B63E54" w:rsidRPr="00B63E54">
                <w:rPr>
                  <w:rFonts w:ascii="宋体" w:eastAsia="宋体" w:hAnsi="宋体" w:cs="宋体"/>
                  <w:b/>
                  <w:bCs/>
                  <w:color w:val="0F6B94"/>
                  <w:kern w:val="0"/>
                  <w:sz w:val="24"/>
                  <w:szCs w:val="24"/>
                </w:rPr>
                <w:t>Chlorine dioxide</w:t>
              </w:r>
            </w:hyperlink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Iodine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I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Disinfectant by-products</w:t>
            </w: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Bromate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Br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  <w:lang w:val="es-ES"/>
              </w:rPr>
              <w:t>-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25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Chlorate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  <w:lang w:val="es-ES"/>
              </w:rPr>
              <w:t>-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Chlorite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perscript"/>
                <w:lang w:val="es-ES"/>
              </w:rPr>
              <w:t>-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Chlorophenols</w:t>
            </w:r>
            <w:proofErr w:type="spellEnd"/>
          </w:p>
        </w:tc>
        <w:tc>
          <w:tcPr>
            <w:tcW w:w="2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2-Chlorophenol (2-CP)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O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2,4-Dichlorophenol (2,4-DCP)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4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O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2,4,6-Trichlorophenol (2,4,6-TCP)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6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O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200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g/l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Formaldehyde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HCHO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MX (3-Chloro-4-dichloromethyl-5-hydroxy-2(5H)-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furanone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Trihalomethanes</w:t>
            </w:r>
            <w:proofErr w:type="spellEnd"/>
          </w:p>
        </w:tc>
        <w:tc>
          <w:tcPr>
            <w:tcW w:w="24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Bromoform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H Br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Dibromochloromethane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 Br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Bromodichloromethane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 Br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60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Chloroform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200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Chlorinated acetic acids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Monochloroacetic acid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3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Cl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  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Dichloroacetic acid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50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Trichloroacetic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 xml:space="preserve">2 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Chloral hydrate (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trichloroacetaldehyde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CH(OH)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Chloroacetones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H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  <w:lang w:val="es-ES"/>
              </w:rPr>
              <w:t>5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val="es-ES"/>
              </w:rPr>
              <w:t xml:space="preserve"> O Cl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Halogenated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acetonitriles</w:t>
            </w:r>
            <w:proofErr w:type="spellEnd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Dichloroacetonitrile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90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Dibromoacetonitrile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H Br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100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Bromochloroacetonitrile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Trichloroacetonitrile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1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Cyanogen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chloride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Cl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CN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70 </w:t>
            </w:r>
            <w:proofErr w:type="spellStart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μg</w:t>
            </w:r>
            <w:proofErr w:type="spellEnd"/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/l</w:t>
            </w:r>
          </w:p>
        </w:tc>
      </w:tr>
      <w:tr w:rsidR="00B63E54" w:rsidRPr="00B63E54" w:rsidTr="00B63E5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3E54" w:rsidRPr="00B63E54" w:rsidRDefault="00B63E54" w:rsidP="00B63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Chloropicrin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C Cl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NO</w:t>
            </w: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E54" w:rsidRPr="00B63E54" w:rsidRDefault="00B63E54" w:rsidP="00B63E54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63E54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No guideline</w:t>
            </w:r>
          </w:p>
        </w:tc>
      </w:tr>
    </w:tbl>
    <w:p w:rsidR="00B63E54" w:rsidRPr="00B63E54" w:rsidRDefault="00B63E54" w:rsidP="00B63E54">
      <w:pPr>
        <w:widowControl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</w:p>
    <w:p w:rsidR="00B63E54" w:rsidRPr="00B63E54" w:rsidRDefault="00B63E54" w:rsidP="00B63E5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Click here for a </w:t>
      </w:r>
      <w:hyperlink r:id="rId45" w:history="1">
        <w:r w:rsidRPr="00B63E54">
          <w:rPr>
            <w:rFonts w:ascii="宋体" w:eastAsia="宋体" w:hAnsi="宋体" w:cs="宋体"/>
            <w:b/>
            <w:bCs/>
            <w:color w:val="0F6B94"/>
            <w:kern w:val="0"/>
            <w:sz w:val="24"/>
            <w:szCs w:val="24"/>
          </w:rPr>
          <w:t>comparative table of the WHO/EU water standards</w:t>
        </w:r>
      </w:hyperlink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</w:p>
    <w:p w:rsidR="00B63E54" w:rsidRPr="00B63E54" w:rsidRDefault="00B63E54" w:rsidP="00B63E5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Check here the newer </w:t>
      </w:r>
      <w:hyperlink r:id="rId46" w:history="1">
        <w:r w:rsidRPr="00B63E54">
          <w:rPr>
            <w:rFonts w:ascii="宋体" w:eastAsia="宋体" w:hAnsi="宋体" w:cs="宋体"/>
            <w:b/>
            <w:bCs/>
            <w:color w:val="0F6B94"/>
            <w:kern w:val="0"/>
            <w:sz w:val="24"/>
            <w:szCs w:val="24"/>
          </w:rPr>
          <w:t>WHO Guidelines for Drinking-water Quality 2006</w:t>
        </w:r>
      </w:hyperlink>
      <w:r w:rsidRPr="00B63E54">
        <w:rPr>
          <w:rFonts w:ascii="宋体" w:eastAsia="宋体" w:hAnsi="宋体" w:cs="宋体"/>
          <w:color w:val="000000"/>
          <w:kern w:val="0"/>
          <w:sz w:val="24"/>
          <w:szCs w:val="24"/>
        </w:rPr>
        <w:t>.</w:t>
      </w:r>
    </w:p>
    <w:p w:rsidR="00B63E54" w:rsidRPr="00B63E54" w:rsidRDefault="00B63E54" w:rsidP="00B63E54">
      <w:pPr>
        <w:widowControl/>
        <w:jc w:val="center"/>
        <w:rPr>
          <w:rFonts w:ascii="Verdana" w:eastAsia="宋体" w:hAnsi="Verdana" w:cs="宋体"/>
          <w:color w:val="000000"/>
          <w:kern w:val="0"/>
          <w:sz w:val="20"/>
          <w:szCs w:val="20"/>
        </w:rPr>
      </w:pPr>
      <w:proofErr w:type="gramStart"/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[ </w:t>
      </w:r>
      <w:proofErr w:type="gramEnd"/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begin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instrText xml:space="preserve"> HYPERLINK "http://www.lenntech.com/home.htm" </w:instrTex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separate"/>
      </w:r>
      <w:r w:rsidRPr="00B63E54">
        <w:rPr>
          <w:rFonts w:ascii="宋体" w:eastAsia="宋体" w:hAnsi="宋体" w:cs="宋体"/>
          <w:b/>
          <w:bCs/>
          <w:color w:val="0F6B94"/>
          <w:kern w:val="0"/>
          <w:sz w:val="20"/>
        </w:rPr>
        <w:t>Home</w: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end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] </w:t>
      </w:r>
      <w:proofErr w:type="gramStart"/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[ </w:t>
      </w:r>
      <w:proofErr w:type="gramEnd"/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begin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instrText xml:space="preserve"> HYPERLINK "javascript:history.back()" </w:instrTex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separate"/>
      </w:r>
      <w:r w:rsidRPr="00B63E54">
        <w:rPr>
          <w:rFonts w:ascii="宋体" w:eastAsia="宋体" w:hAnsi="宋体" w:cs="宋体"/>
          <w:b/>
          <w:bCs/>
          <w:color w:val="0F6B94"/>
          <w:kern w:val="0"/>
          <w:sz w:val="20"/>
        </w:rPr>
        <w:t>Back</w: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end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] </w:t>
      </w:r>
      <w:proofErr w:type="gramStart"/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[ </w:t>
      </w:r>
      <w:proofErr w:type="gramEnd"/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begin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instrText xml:space="preserve"> HYPERLINK "http://www.lenntech.com/feedback_uk.htm" </w:instrTex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separate"/>
      </w:r>
      <w:r w:rsidRPr="00B63E54">
        <w:rPr>
          <w:rFonts w:ascii="宋体" w:eastAsia="宋体" w:hAnsi="宋体" w:cs="宋体"/>
          <w:b/>
          <w:bCs/>
          <w:color w:val="0F6B94"/>
          <w:kern w:val="0"/>
          <w:sz w:val="20"/>
        </w:rPr>
        <w:t>More Info</w:t>
      </w:r>
      <w:r w:rsidR="00D82838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fldChar w:fldCharType="end"/>
      </w:r>
      <w:r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] </w:t>
      </w:r>
    </w:p>
    <w:p w:rsidR="004A4703" w:rsidRPr="004F6A49" w:rsidRDefault="00D82838" w:rsidP="004F6A49">
      <w:pPr>
        <w:widowControl/>
        <w:spacing w:before="100" w:beforeAutospacing="1" w:after="100" w:afterAutospacing="1"/>
        <w:jc w:val="center"/>
        <w:rPr>
          <w:rFonts w:ascii="Verdana" w:eastAsia="宋体" w:hAnsi="Verdana" w:cs="宋体"/>
          <w:color w:val="000000"/>
          <w:kern w:val="0"/>
          <w:sz w:val="20"/>
          <w:szCs w:val="20"/>
        </w:rPr>
      </w:pPr>
      <w:hyperlink r:id="rId47" w:history="1">
        <w:r w:rsidR="00B63E54" w:rsidRPr="00B63E54">
          <w:rPr>
            <w:rFonts w:ascii="宋体" w:eastAsia="宋体" w:hAnsi="宋体" w:cs="宋体"/>
            <w:b/>
            <w:bCs/>
            <w:color w:val="0F6B94"/>
            <w:kern w:val="0"/>
            <w:sz w:val="20"/>
          </w:rPr>
          <w:t>Copyright © 1998-2008</w:t>
        </w:r>
      </w:hyperlink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</w:t>
      </w:r>
      <w:proofErr w:type="spellStart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Lenntech</w:t>
      </w:r>
      <w:proofErr w:type="spellEnd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</w:t>
      </w:r>
      <w:hyperlink r:id="rId48" w:history="1">
        <w:r w:rsidR="00B63E54" w:rsidRPr="00B63E54">
          <w:rPr>
            <w:rFonts w:ascii="宋体" w:eastAsia="宋体" w:hAnsi="宋体" w:cs="宋体"/>
            <w:b/>
            <w:bCs/>
            <w:color w:val="0F6B94"/>
            <w:kern w:val="0"/>
            <w:sz w:val="20"/>
          </w:rPr>
          <w:t>Water treatment</w:t>
        </w:r>
      </w:hyperlink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&amp; air purification Holding B.V</w:t>
      </w:r>
      <w:proofErr w:type="gramStart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.</w:t>
      </w:r>
      <w:proofErr w:type="gramEnd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br/>
      </w:r>
      <w:proofErr w:type="spellStart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Rotterdamseweg</w:t>
      </w:r>
      <w:proofErr w:type="spellEnd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402 M</w:t>
      </w:r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br/>
        <w:t>2629 HH Delft, The Netherlands</w:t>
      </w:r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br/>
      </w:r>
      <w:proofErr w:type="spellStart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tel</w:t>
      </w:r>
      <w:proofErr w:type="spellEnd"/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t>: (+31)(0)15 26.10.900</w:t>
      </w:r>
      <w:r w:rsidR="00B63E54" w:rsidRPr="00B63E54">
        <w:rPr>
          <w:rFonts w:ascii="Verdana" w:eastAsia="宋体" w:hAnsi="Verdana" w:cs="宋体"/>
          <w:color w:val="000000"/>
          <w:kern w:val="0"/>
          <w:sz w:val="20"/>
          <w:szCs w:val="20"/>
        </w:rPr>
        <w:br/>
      </w:r>
    </w:p>
    <w:sectPr w:rsidR="004A4703" w:rsidRPr="004F6A49" w:rsidSect="004A4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A49" w:rsidRDefault="004F6A49" w:rsidP="004F6A49">
      <w:r>
        <w:separator/>
      </w:r>
    </w:p>
  </w:endnote>
  <w:endnote w:type="continuationSeparator" w:id="1">
    <w:p w:rsidR="004F6A49" w:rsidRDefault="004F6A49" w:rsidP="004F6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A49" w:rsidRDefault="004F6A49" w:rsidP="004F6A49">
      <w:r>
        <w:separator/>
      </w:r>
    </w:p>
  </w:footnote>
  <w:footnote w:type="continuationSeparator" w:id="1">
    <w:p w:rsidR="004F6A49" w:rsidRDefault="004F6A49" w:rsidP="004F6A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E54"/>
    <w:rsid w:val="004A4703"/>
    <w:rsid w:val="004F6A49"/>
    <w:rsid w:val="00B63E54"/>
    <w:rsid w:val="00D8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0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63E54"/>
    <w:pPr>
      <w:widowControl/>
      <w:spacing w:before="100" w:beforeAutospacing="1" w:after="100" w:afterAutospacing="1"/>
      <w:jc w:val="left"/>
      <w:outlineLvl w:val="0"/>
    </w:pPr>
    <w:rPr>
      <w:rFonts w:ascii="Verdana" w:eastAsia="宋体" w:hAnsi="Verdana" w:cs="宋体"/>
      <w:b/>
      <w:bCs/>
      <w:i/>
      <w:iCs/>
      <w:color w:val="000000"/>
      <w:kern w:val="36"/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B63E54"/>
    <w:pPr>
      <w:widowControl/>
      <w:spacing w:before="100" w:beforeAutospacing="1" w:after="100" w:afterAutospacing="1"/>
      <w:jc w:val="left"/>
      <w:outlineLvl w:val="1"/>
    </w:pPr>
    <w:rPr>
      <w:rFonts w:ascii="Verdana" w:eastAsia="宋体" w:hAnsi="Verdana" w:cs="宋体"/>
      <w:b/>
      <w:bCs/>
      <w:color w:val="000000"/>
      <w:kern w:val="0"/>
      <w:sz w:val="20"/>
      <w:szCs w:val="20"/>
    </w:rPr>
  </w:style>
  <w:style w:type="paragraph" w:styleId="3">
    <w:name w:val="heading 3"/>
    <w:basedOn w:val="a"/>
    <w:link w:val="3Char"/>
    <w:uiPriority w:val="9"/>
    <w:qFormat/>
    <w:rsid w:val="00B63E54"/>
    <w:pPr>
      <w:widowControl/>
      <w:spacing w:before="100" w:beforeAutospacing="1" w:after="100" w:afterAutospacing="1"/>
      <w:jc w:val="left"/>
      <w:outlineLvl w:val="2"/>
    </w:pPr>
    <w:rPr>
      <w:rFonts w:ascii="Verdana" w:eastAsia="宋体" w:hAnsi="Verdana" w:cs="宋体"/>
      <w:b/>
      <w:bCs/>
      <w:i/>
      <w:iCs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63E54"/>
    <w:rPr>
      <w:rFonts w:ascii="Verdana" w:eastAsia="宋体" w:hAnsi="Verdana" w:cs="宋体"/>
      <w:b/>
      <w:bCs/>
      <w:i/>
      <w:iCs/>
      <w:color w:val="000000"/>
      <w:kern w:val="36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B63E54"/>
    <w:rPr>
      <w:rFonts w:ascii="Verdana" w:eastAsia="宋体" w:hAnsi="Verdana" w:cs="宋体"/>
      <w:b/>
      <w:bCs/>
      <w:color w:val="000000"/>
      <w:kern w:val="0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B63E54"/>
    <w:rPr>
      <w:rFonts w:ascii="Verdana" w:eastAsia="宋体" w:hAnsi="Verdana" w:cs="宋体"/>
      <w:b/>
      <w:bCs/>
      <w:i/>
      <w:iCs/>
      <w:color w:val="000000"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63E54"/>
    <w:rPr>
      <w:b/>
      <w:bCs/>
      <w:strike w:val="0"/>
      <w:dstrike w:val="0"/>
      <w:color w:val="0F6B94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B63E54"/>
    <w:rPr>
      <w:b/>
      <w:bCs/>
      <w:strike w:val="0"/>
      <w:dstrike w:val="0"/>
      <w:color w:val="0F6B94"/>
      <w:u w:val="none"/>
      <w:effect w:val="none"/>
    </w:rPr>
  </w:style>
  <w:style w:type="paragraph" w:customStyle="1" w:styleId="skin0">
    <w:name w:val="skin0"/>
    <w:basedOn w:val="a"/>
    <w:rsid w:val="00B63E54"/>
    <w:pPr>
      <w:widowControl/>
      <w:pBdr>
        <w:top w:val="single" w:sz="6" w:space="0" w:color="000000"/>
        <w:left w:val="single" w:sz="6" w:space="8" w:color="000000"/>
        <w:bottom w:val="single" w:sz="6" w:space="0" w:color="000000"/>
        <w:right w:val="single" w:sz="6" w:space="8" w:color="000000"/>
      </w:pBdr>
      <w:shd w:val="clear" w:color="auto" w:fill="F0F0F0"/>
      <w:spacing w:before="100" w:beforeAutospacing="1" w:after="100" w:afterAutospacing="1" w:line="300" w:lineRule="atLeast"/>
      <w:jc w:val="left"/>
    </w:pPr>
    <w:rPr>
      <w:rFonts w:ascii="Verdana" w:eastAsia="宋体" w:hAnsi="Verdana" w:cs="宋体"/>
      <w:color w:val="000000"/>
      <w:kern w:val="0"/>
      <w:sz w:val="20"/>
      <w:szCs w:val="20"/>
    </w:rPr>
  </w:style>
  <w:style w:type="paragraph" w:customStyle="1" w:styleId="box">
    <w:name w:val="box"/>
    <w:basedOn w:val="a"/>
    <w:rsid w:val="00B63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links">
    <w:name w:val="links"/>
    <w:basedOn w:val="a"/>
    <w:rsid w:val="00B63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B63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63E5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63E54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63E5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63E54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B63E5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63E54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4F6A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4F6A49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4F6A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4F6A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1170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8" w:color="000000"/>
            <w:bottom w:val="single" w:sz="6" w:space="0" w:color="000000"/>
            <w:right w:val="single" w:sz="6" w:space="8" w:color="000000"/>
          </w:divBdr>
          <w:divsChild>
            <w:div w:id="7808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hyperlink" Target="http://www.lenntech.com/Periodic-chart-elements/Ba-en.htm" TargetMode="External"/><Relationship Id="rId26" Type="http://schemas.openxmlformats.org/officeDocument/2006/relationships/hyperlink" Target="http://www.lenntech.com/Periodic-chart-elements/F-en.htm" TargetMode="External"/><Relationship Id="rId39" Type="http://schemas.openxmlformats.org/officeDocument/2006/relationships/hyperlink" Target="http://www.lenntech.com/sulfates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enntech.com/Periodic-chart-elements/Cd-en.htm" TargetMode="External"/><Relationship Id="rId34" Type="http://schemas.openxmlformats.org/officeDocument/2006/relationships/hyperlink" Target="http://www.lenntech.com/Periodic-chart-elements/N-en.htm" TargetMode="External"/><Relationship Id="rId42" Type="http://schemas.openxmlformats.org/officeDocument/2006/relationships/hyperlink" Target="http://www.lenntech.com/Periodic-chart-elements/Zn-en.htm" TargetMode="External"/><Relationship Id="rId47" Type="http://schemas.openxmlformats.org/officeDocument/2006/relationships/hyperlink" Target="javascript:opencopyright();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control" Target="activeX/activeX2.xml"/><Relationship Id="rId17" Type="http://schemas.openxmlformats.org/officeDocument/2006/relationships/hyperlink" Target="http://www.lenntech.com/Periodic-chart-elements/As-en.htm" TargetMode="External"/><Relationship Id="rId25" Type="http://schemas.openxmlformats.org/officeDocument/2006/relationships/hyperlink" Target="http://www.lenntech.com/Periodic-chart-elements/O-en.htm" TargetMode="External"/><Relationship Id="rId33" Type="http://schemas.openxmlformats.org/officeDocument/2006/relationships/hyperlink" Target="http://www.lenntech.com/Periodic-chart-elements/Ni-en.htm" TargetMode="External"/><Relationship Id="rId38" Type="http://schemas.openxmlformats.org/officeDocument/2006/relationships/hyperlink" Target="http://www.lenntech.com/Periodic-chart-elements/Na-en.htm" TargetMode="External"/><Relationship Id="rId46" Type="http://schemas.openxmlformats.org/officeDocument/2006/relationships/hyperlink" Target="http://www.lenntech.com/WHO's-drinking-water-standards06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enntech.com/Periodic-chart-elements/Sb-en.htm" TargetMode="External"/><Relationship Id="rId20" Type="http://schemas.openxmlformats.org/officeDocument/2006/relationships/hyperlink" Target="http://www.lenntech.com/Periodic-chart-elements/B-en.htm" TargetMode="External"/><Relationship Id="rId29" Type="http://schemas.openxmlformats.org/officeDocument/2006/relationships/hyperlink" Target="http://www.lenntech.com/Periodic-chart-elements/Pb-en.htm" TargetMode="External"/><Relationship Id="rId41" Type="http://schemas.openxmlformats.org/officeDocument/2006/relationships/hyperlink" Target="http://www.lenntech.com/Periodic-chart-elements/U-en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wmf"/><Relationship Id="rId24" Type="http://schemas.openxmlformats.org/officeDocument/2006/relationships/hyperlink" Target="http://www.lenntech.com/Periodic-chart-elements/Co-en.htm" TargetMode="External"/><Relationship Id="rId32" Type="http://schemas.openxmlformats.org/officeDocument/2006/relationships/hyperlink" Target="http://www.lenntech.com/Periodic-chart-elements/Mo-en.htm" TargetMode="External"/><Relationship Id="rId37" Type="http://schemas.openxmlformats.org/officeDocument/2006/relationships/hyperlink" Target="http://www.lenntech.com/Periodic-chart-elements/Ag-en.htm" TargetMode="External"/><Relationship Id="rId40" Type="http://schemas.openxmlformats.org/officeDocument/2006/relationships/hyperlink" Target="http://www.lenntech.com/Periodic-chart-elements/Sn-en.htm" TargetMode="External"/><Relationship Id="rId45" Type="http://schemas.openxmlformats.org/officeDocument/2006/relationships/hyperlink" Target="http://www.lenntech.com/WHO-EU-water-standards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lenntech.com/Periodic-chart-elements/Al-en.htm" TargetMode="External"/><Relationship Id="rId23" Type="http://schemas.openxmlformats.org/officeDocument/2006/relationships/hyperlink" Target="http://www.lenntech.com/Periodic-chart-elements/Cr-en.htm" TargetMode="External"/><Relationship Id="rId28" Type="http://schemas.openxmlformats.org/officeDocument/2006/relationships/hyperlink" Target="http://www.lenntech.com/Periodic-chart-elements/Fe-en.htm" TargetMode="External"/><Relationship Id="rId36" Type="http://schemas.openxmlformats.org/officeDocument/2006/relationships/hyperlink" Target="http://www.lenntech.com/Periodic-chart-elements/Se-en.htm" TargetMode="External"/><Relationship Id="rId49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hyperlink" Target="http://www.lenntech.com/Periodic-chart-elements/Be-en.htm" TargetMode="External"/><Relationship Id="rId31" Type="http://schemas.openxmlformats.org/officeDocument/2006/relationships/hyperlink" Target="http://www.lenntech.com/Periodic-chart-elements/Hg-en.htm" TargetMode="External"/><Relationship Id="rId44" Type="http://schemas.openxmlformats.org/officeDocument/2006/relationships/hyperlink" Target="http://www.lenntech.com/chlorine_dioxide.ht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control" Target="activeX/activeX3.xml"/><Relationship Id="rId22" Type="http://schemas.openxmlformats.org/officeDocument/2006/relationships/hyperlink" Target="http://www.lenntech.com/Periodic-chart-elements/Cl-en.htm" TargetMode="External"/><Relationship Id="rId27" Type="http://schemas.openxmlformats.org/officeDocument/2006/relationships/hyperlink" Target="http://www.lenntech.com/softening.htm" TargetMode="External"/><Relationship Id="rId30" Type="http://schemas.openxmlformats.org/officeDocument/2006/relationships/hyperlink" Target="http://www.lenntech.com/Periodic-chart-elements/Mn-en.htm" TargetMode="External"/><Relationship Id="rId35" Type="http://schemas.openxmlformats.org/officeDocument/2006/relationships/hyperlink" Target="http://www.lenntech.com/pH-and-alkalinity.htm" TargetMode="External"/><Relationship Id="rId43" Type="http://schemas.openxmlformats.org/officeDocument/2006/relationships/hyperlink" Target="http://www.lenntech.com/ro/atrazine.htm" TargetMode="External"/><Relationship Id="rId48" Type="http://schemas.openxmlformats.org/officeDocument/2006/relationships/hyperlink" Target="http://www.lenntech.com/index.htm" TargetMode="External"/><Relationship Id="rId8" Type="http://schemas.openxmlformats.org/officeDocument/2006/relationships/image" Target="media/image3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1302</Words>
  <Characters>7425</Characters>
  <Application>Microsoft Office Word</Application>
  <DocSecurity>0</DocSecurity>
  <Lines>61</Lines>
  <Paragraphs>17</Paragraphs>
  <ScaleCrop>false</ScaleCrop>
  <Company>深度技术论坛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MacOSX</dc:creator>
  <cp:keywords/>
  <dc:description/>
  <cp:lastModifiedBy>MacOSX</cp:lastModifiedBy>
  <cp:revision>2</cp:revision>
  <dcterms:created xsi:type="dcterms:W3CDTF">2008-11-05T11:06:00Z</dcterms:created>
  <dcterms:modified xsi:type="dcterms:W3CDTF">2008-11-09T14:31:00Z</dcterms:modified>
</cp:coreProperties>
</file>